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80" w:lineRule="exact"/>
        <w:rPr>
          <w:rFonts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widowControl w:val="0"/>
        <w:adjustRightInd/>
        <w:snapToGrid/>
        <w:spacing w:after="0" w:line="56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p>
      <w:pPr>
        <w:widowControl w:val="0"/>
        <w:adjustRightInd/>
        <w:snapToGrid/>
        <w:spacing w:after="0" w:line="560" w:lineRule="exact"/>
        <w:ind w:firstLine="880" w:firstLineChars="200"/>
        <w:jc w:val="both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四川国际博览光影科技服务有限公司公开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  <w:lang w:eastAsia="zh-CN"/>
        </w:rPr>
        <w:t>竞聘</w:t>
      </w:r>
      <w:r>
        <w:rPr>
          <w:rFonts w:hint="eastAsia"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  <w:t>岗位相关情况</w:t>
      </w:r>
    </w:p>
    <w:p>
      <w:pPr>
        <w:widowControl w:val="0"/>
        <w:adjustRightInd/>
        <w:snapToGrid/>
        <w:spacing w:after="0" w:line="300" w:lineRule="exact"/>
        <w:ind w:firstLine="880" w:firstLineChars="200"/>
        <w:jc w:val="center"/>
        <w:rPr>
          <w:rFonts w:ascii="方正小标宋简体" w:hAnsi="黑体" w:eastAsia="方正小标宋简体" w:cs="仿宋"/>
          <w:color w:val="333333"/>
          <w:kern w:val="2"/>
          <w:sz w:val="44"/>
          <w:szCs w:val="44"/>
          <w:shd w:val="clear" w:color="auto" w:fill="FFFFFF"/>
        </w:rPr>
      </w:pPr>
    </w:p>
    <w:tbl>
      <w:tblPr>
        <w:tblStyle w:val="4"/>
        <w:tblW w:w="145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05"/>
        <w:gridCol w:w="7234"/>
        <w:gridCol w:w="5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72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岗位要求</w:t>
            </w:r>
          </w:p>
        </w:tc>
        <w:tc>
          <w:tcPr>
            <w:tcW w:w="5447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2"/>
                <w:sz w:val="28"/>
                <w:szCs w:val="28"/>
                <w:shd w:val="clear" w:color="auto" w:fill="FFFFFF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834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kern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业务部副经理</w:t>
            </w:r>
          </w:p>
        </w:tc>
        <w:tc>
          <w:tcPr>
            <w:tcW w:w="7234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进行部门制度建设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推进部门工作</w:t>
            </w:r>
            <w:r>
              <w:rPr>
                <w:rFonts w:hint="eastAsia" w:ascii="仿宋_GB2312" w:eastAsia="仿宋_GB2312" w:cs="Arial"/>
                <w:sz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拟定部门目标计划统筹、部门目标分解与下达与实施；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管理部门内部事务；管理授权范围的人员管理、人员的绩效管理与实施等；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管理部门员工工作，如绩效管理，工作指导与检查，目标督办等；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直接主导或参与重要业务谈判、跟进等；重要客户的直接对接或掌握全部核心信息；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领导或组织展会、赛事等项目的策划与设计；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领导或组织展会、赛事等项目方案、材料撰写；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管理境内、</w:t>
            </w:r>
            <w:r>
              <w:rPr>
                <w:rFonts w:hint="eastAsia" w:ascii="仿宋_GB2312" w:eastAsia="仿宋_GB2312" w:cs="Times New Roman"/>
                <w:bCs/>
                <w:color w:val="000000"/>
                <w:sz w:val="24"/>
              </w:rPr>
              <w:t>外展会、赛事等的组织实施；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协调对外工作，做好与相关部门的工作对接；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420"/>
              </w:tabs>
              <w:spacing w:line="300" w:lineRule="exact"/>
              <w:rPr>
                <w:rFonts w:ascii="仿宋_GB2312" w:eastAsia="仿宋_GB2312" w:cs="Arial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 w:cs="Arial"/>
                <w:sz w:val="24"/>
                <w:shd w:val="clear" w:color="auto" w:fill="FFFFFF"/>
              </w:rPr>
              <w:t>负责员工工作安排、绩效考核和团队文化建设；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20"/>
              </w:tabs>
              <w:spacing w:line="300" w:lineRule="exact"/>
              <w:ind w:left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5447" w:type="dxa"/>
            <w:vAlign w:val="center"/>
          </w:tcPr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艺术、平面、3D设计、市场营销、商务管理等相关专业毕业，大专及以上学历。</w:t>
            </w:r>
          </w:p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具备民营企业、国有企业、机关事业单位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年及以上相关工作经验，具有良好的组织能力、执行力；较强综合协调能力；具备良好的沟通协调能力、表达能力、计划和执行能力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领导管理能力。</w:t>
            </w:r>
          </w:p>
          <w:p>
            <w:pPr>
              <w:pStyle w:val="6"/>
              <w:spacing w:line="300" w:lineRule="exact"/>
              <w:ind w:left="-108" w:leftChars="-49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95AE8"/>
    <w:multiLevelType w:val="singleLevel"/>
    <w:tmpl w:val="7F895AE8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7CBE"/>
    <w:rsid w:val="1FD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1"/>
    <w:basedOn w:val="1"/>
    <w:qFormat/>
    <w:uiPriority w:val="0"/>
    <w:pPr>
      <w:adjustRightInd/>
      <w:snapToGrid/>
      <w:spacing w:after="0" w:line="276" w:lineRule="auto"/>
    </w:pPr>
    <w:rPr>
      <w:rFonts w:ascii="宋体" w:hAnsi="宋体" w:eastAsia="宋体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2021-11-15T02:43:00Z</dcterms:created>
  <dc:creator>admin12</dc:creator>
  <cp:lastModifiedBy>admin12</cp:lastModifiedBy>
  <dcterms:modified xsi:type="dcterms:W3CDTF">2021-11-15T02:43:41Z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